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1205" w14:textId="77777777" w:rsidR="00793522" w:rsidRPr="00793522" w:rsidRDefault="00793522" w:rsidP="00793522">
      <w:pPr>
        <w:spacing w:after="0" w:line="240" w:lineRule="auto"/>
        <w:jc w:val="both"/>
        <w:outlineLvl w:val="0"/>
        <w:rPr>
          <w:rFonts w:ascii="Poppins SemiBold" w:eastAsia="Arial" w:hAnsi="Poppins SemiBold" w:cs="Poppins Light"/>
          <w:b/>
          <w:color w:val="2C2B2B"/>
          <w:spacing w:val="-10"/>
          <w:kern w:val="28"/>
          <w:sz w:val="16"/>
          <w:szCs w:val="16"/>
          <w:lang w:val="es-ES_tradnl"/>
        </w:rPr>
      </w:pPr>
      <w:bookmarkStart w:id="0" w:name="_Toc209620747"/>
      <w:r w:rsidRPr="00793522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>ANEXO VI</w:t>
      </w:r>
      <w:bookmarkEnd w:id="0"/>
      <w:r w:rsidRPr="00793522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 xml:space="preserve"> - DECLARACIÓN DE AUSENCIA DE CONFLICTO DE INTERESES</w:t>
      </w:r>
    </w:p>
    <w:tbl>
      <w:tblPr>
        <w:tblStyle w:val="Tablanormal1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2555"/>
        <w:gridCol w:w="5949"/>
      </w:tblGrid>
      <w:tr w:rsidR="00793522" w:rsidRPr="00793522" w14:paraId="5A11279F" w14:textId="77777777" w:rsidTr="00793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502" w:type="pct"/>
            <w:tcBorders>
              <w:bottom w:val="single" w:sz="2" w:space="0" w:color="2C2B2B"/>
            </w:tcBorders>
            <w:vAlign w:val="center"/>
          </w:tcPr>
          <w:p w14:paraId="6F8827EC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</w:pPr>
            <w:r w:rsidRPr="00793522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y Apellidos:</w:t>
            </w:r>
          </w:p>
        </w:tc>
        <w:tc>
          <w:tcPr>
            <w:tcW w:w="3498" w:type="pct"/>
            <w:tcBorders>
              <w:bottom w:val="single" w:sz="2" w:space="0" w:color="2C2B2B"/>
            </w:tcBorders>
            <w:vAlign w:val="center"/>
          </w:tcPr>
          <w:p w14:paraId="55708E55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793522" w:rsidRPr="00793522" w14:paraId="1ED58D68" w14:textId="77777777" w:rsidTr="0079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50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F29E94F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793522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Interviene en nombre y representación de:</w:t>
            </w:r>
          </w:p>
        </w:tc>
        <w:tc>
          <w:tcPr>
            <w:tcW w:w="349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5E860C7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793522" w:rsidRPr="00793522" w14:paraId="15EADBB7" w14:textId="77777777" w:rsidTr="00793522">
        <w:trPr>
          <w:trHeight w:val="497"/>
          <w:jc w:val="right"/>
        </w:trPr>
        <w:tc>
          <w:tcPr>
            <w:tcW w:w="150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19EA3D4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793522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Operación: Subasta (Ref………)</w:t>
            </w:r>
          </w:p>
        </w:tc>
        <w:tc>
          <w:tcPr>
            <w:tcW w:w="349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DFFB5B6" w14:textId="77777777" w:rsidR="00793522" w:rsidRPr="00793522" w:rsidRDefault="00793522" w:rsidP="00793522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6DFBBD31" w14:textId="77777777" w:rsidR="00793522" w:rsidRPr="00793522" w:rsidRDefault="00793522" w:rsidP="00793522">
      <w:pPr>
        <w:spacing w:after="0"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6D95E61A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Al objeto de garantizar la imparcialidad en la subasta arriba referenciada, el/la abajo firmante,</w:t>
      </w:r>
      <w:r w:rsidRPr="00793522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en su propio nombre y derecho/en representación de (</w:t>
      </w:r>
      <w:r w:rsidRPr="00793522">
        <w:rPr>
          <w:rFonts w:ascii="Poppins SemiBold" w:eastAsia="Calibri" w:hAnsi="Poppins SemiBold" w:cs="Poppins SemiBold"/>
          <w:sz w:val="16"/>
          <w:szCs w:val="16"/>
          <w:lang w:val="es-ES_tradnl"/>
        </w:rPr>
        <w:t>táchese lo que NO PROCEDA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), en su condición de licitador del Lote nº “…………” como interesada en la compra de los inmuebles indicados en el encabezamiento.</w:t>
      </w:r>
    </w:p>
    <w:p w14:paraId="2AA96377" w14:textId="77777777" w:rsidR="00793522" w:rsidRPr="00793522" w:rsidRDefault="00793522" w:rsidP="00793522">
      <w:pPr>
        <w:spacing w:line="240" w:lineRule="auto"/>
        <w:jc w:val="both"/>
        <w:rPr>
          <w:rFonts w:ascii="Poppins SemiBold" w:eastAsia="Calibri" w:hAnsi="Poppins SemiBold" w:cs="Poppins SemiBold"/>
          <w:b/>
          <w:sz w:val="20"/>
          <w:szCs w:val="20"/>
          <w:lang w:val="es-ES_tradnl"/>
        </w:rPr>
      </w:pPr>
      <w:r w:rsidRPr="00793522">
        <w:rPr>
          <w:rFonts w:ascii="Poppins SemiBold" w:eastAsia="Calibri" w:hAnsi="Poppins SemiBold" w:cs="Poppins SemiBold"/>
          <w:sz w:val="20"/>
          <w:szCs w:val="20"/>
          <w:lang w:val="es-ES_tradnl"/>
        </w:rPr>
        <w:t>DECLARA</w:t>
      </w:r>
    </w:p>
    <w:p w14:paraId="3F5994FC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SemiBold" w:eastAsia="Calibri" w:hAnsi="Poppins SemiBold" w:cs="Poppins SemiBold"/>
          <w:bCs/>
          <w:sz w:val="16"/>
          <w:szCs w:val="16"/>
          <w:lang w:val="es-ES_tradnl"/>
        </w:rPr>
        <w:t>Primero</w:t>
      </w:r>
      <w:r w:rsidRPr="00793522">
        <w:rPr>
          <w:rFonts w:ascii="Poppins Light" w:eastAsia="Calibri" w:hAnsi="Poppins Light" w:cs="Poppins Light"/>
          <w:bCs/>
          <w:sz w:val="16"/>
          <w:szCs w:val="16"/>
          <w:lang w:val="es-ES_tradnl"/>
        </w:rPr>
        <w:t xml:space="preserve">. 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Estar informado/a de lo siguiente:</w:t>
      </w:r>
    </w:p>
    <w:p w14:paraId="6AB56FB2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1. Que el artículo 23, «Abstención», de la Ley 40/2015, de 1 octubre, de Régimen Jurídico del Sector Público (que también resulta de aplicación a los empleados y directivos de SEGIPSA),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4D8AEBEF" w14:textId="77777777" w:rsidR="00793522" w:rsidRPr="00793522" w:rsidRDefault="00793522" w:rsidP="00793522">
      <w:pPr>
        <w:spacing w:line="240" w:lineRule="auto"/>
        <w:ind w:left="708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a) Tener interés personal en el asunto de que se trate o en otro en cuya resolución pudiera influir la de aquél; ser administrador de sociedad o entidad interesada, o tener cuestión litigiosa pendiente con algún interesado.</w:t>
      </w:r>
    </w:p>
    <w:p w14:paraId="658A1BB8" w14:textId="77777777" w:rsidR="00793522" w:rsidRPr="00793522" w:rsidRDefault="00793522" w:rsidP="00793522">
      <w:pPr>
        <w:spacing w:line="240" w:lineRule="auto"/>
        <w:ind w:left="708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7E565142" w14:textId="77777777" w:rsidR="00793522" w:rsidRPr="00793522" w:rsidRDefault="00793522" w:rsidP="00793522">
      <w:pPr>
        <w:spacing w:line="240" w:lineRule="auto"/>
        <w:ind w:left="708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c) Tener amistad íntima o enemistad manifiesta con alguna de las personas mencionadas en el apartado anterior.</w:t>
      </w:r>
    </w:p>
    <w:p w14:paraId="50785500" w14:textId="77777777" w:rsidR="00793522" w:rsidRPr="00793522" w:rsidRDefault="00793522" w:rsidP="00793522">
      <w:pPr>
        <w:spacing w:line="240" w:lineRule="auto"/>
        <w:ind w:left="708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d) Haber intervenido como perito o como testigo en el procedimiento de que se trate.</w:t>
      </w:r>
    </w:p>
    <w:p w14:paraId="3361BCF0" w14:textId="77777777" w:rsidR="00793522" w:rsidRPr="00793522" w:rsidRDefault="00793522" w:rsidP="00793522">
      <w:pPr>
        <w:spacing w:after="0" w:line="240" w:lineRule="auto"/>
        <w:ind w:left="708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e) Tener relación de servicio con persona natural o jurídica interesada directamente en el asunto, o haberle prestado en los dos últimos años servicios profesionales de cualquier tipo y en cualquier circunstancia o lugar».</w:t>
      </w:r>
    </w:p>
    <w:p w14:paraId="479A1828" w14:textId="77777777" w:rsidR="00793522" w:rsidRPr="00793522" w:rsidRDefault="00793522" w:rsidP="00793522">
      <w:pPr>
        <w:spacing w:after="0"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7D9D8F9E" w14:textId="77777777" w:rsidR="00793522" w:rsidRPr="00793522" w:rsidRDefault="00793522" w:rsidP="00793522">
      <w:pPr>
        <w:spacing w:after="0"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2. Que el artículo 419 del Código Penal (que también es de aplicación a SEGIPSA) establece: “La autoridad o funcionario público que, en provecho propio o de un tercero, recibiere o solicitare, por sí o por persona interpuesta, dádiva, favor o retribución de cualquier clase o aceptare ofrecimiento o promesa para realizar en el ejercicio de su cargo un acto contrario a los deberes inherentes al mismo o para no realizar o retrasar injustificadamente el que debiera practicar, incurrirá en la pena de prisión de tres a seis años, multa de doce a veinticuatro meses, e inhabilitación especial para empleo o cargo público y para el ejercicio del derecho de sufragio pasivo por tiempo de nueve a doce años, sin perjuicio de la pena correspondiente al acto realizado, omitido o retrasado en razón de la retribución o promesa, si fuera constitutivo de delito.”</w:t>
      </w:r>
    </w:p>
    <w:p w14:paraId="209B9F7B" w14:textId="77777777" w:rsidR="00793522" w:rsidRPr="00793522" w:rsidRDefault="00793522" w:rsidP="00793522">
      <w:pPr>
        <w:spacing w:after="0"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0D41E78F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i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3. Que el artículo 286 bis del Código Penal (que también es de aplicación a SEGIPSA) establece: “</w:t>
      </w:r>
      <w:r w:rsidRPr="00793522">
        <w:rPr>
          <w:rFonts w:ascii="Poppins Light" w:eastAsia="Calibri" w:hAnsi="Poppins Light" w:cs="Poppins Light"/>
          <w:i/>
          <w:sz w:val="16"/>
          <w:szCs w:val="16"/>
          <w:lang w:val="es-ES_tradnl"/>
        </w:rPr>
        <w:t xml:space="preserve">1. El directivo, administrador, empleado o colaborador de una empresa mercantil o de una sociedad que, por sí o por persona interpuesta, reciba, solicite o acepte un beneficio o ventaja no justificados de cualquier naturaleza, u ofrecimiento o promesa de obtenerlo, para sí o para un tercero, como contraprestación para favorecer indebidamente a otro en la adquisición o venta de mercancías, o en la contratación de servicios o en las </w:t>
      </w:r>
      <w:r w:rsidRPr="00793522">
        <w:rPr>
          <w:rFonts w:ascii="Poppins Light" w:eastAsia="Calibri" w:hAnsi="Poppins Light" w:cs="Poppins Light"/>
          <w:i/>
          <w:sz w:val="16"/>
          <w:szCs w:val="16"/>
          <w:lang w:val="es-ES_tradnl"/>
        </w:rPr>
        <w:lastRenderedPageBreak/>
        <w:t>relaciones comerciales, será castigado con la pena de prisión de seis meses a cuatro años, inhabilitación especial para el ejercicio de industria o comercio por tiempo de uno a seis años y multa del tanto al triplo del valor del beneficio o ventaja.</w:t>
      </w:r>
    </w:p>
    <w:p w14:paraId="345D236E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i/>
          <w:sz w:val="16"/>
          <w:szCs w:val="16"/>
          <w:lang w:val="es-ES_tradnl"/>
        </w:rPr>
        <w:t>2. Con las mismas penas será castigado quien, por sí o por persona interpuesta, prometa, ofrezca o conceda a directivos, administradores, empleados o colaboradores de una empresa mercantil o de una sociedad, un beneficio o ventaja no justificados, de cualquier naturaleza, para ellos o para terceros, como contraprestación para que le favorezca indebidamente a él o a un tercero frente a otros en la adquisición o venta de mercancías, contratación de servicios o en las relaciones comerciales.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”</w:t>
      </w:r>
    </w:p>
    <w:p w14:paraId="7424FB90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SemiBold" w:eastAsia="Calibri" w:hAnsi="Poppins SemiBold" w:cs="Poppins SemiBold"/>
          <w:bCs/>
          <w:sz w:val="16"/>
          <w:szCs w:val="16"/>
          <w:lang w:val="es-ES_tradnl"/>
        </w:rPr>
        <w:t>Segundo</w:t>
      </w:r>
      <w:r w:rsidRPr="00793522">
        <w:rPr>
          <w:rFonts w:ascii="Poppins Light" w:eastAsia="Calibri" w:hAnsi="Poppins Light" w:cs="Poppins Light"/>
          <w:bCs/>
          <w:sz w:val="16"/>
          <w:szCs w:val="16"/>
          <w:lang w:val="es-ES_tradnl"/>
        </w:rPr>
        <w:t>.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 xml:space="preserve"> Que no se encuentra incurso/a en ninguna situación que pueda calificarse de conflicto de intereses de las indicadas y que no concurre en su persona ninguna causa de abstención del artículo 23.2 de la Ley 40/2015, de 1 de octubre, de Régimen Jurídico del Sector Público que pueda afectar al procedimiento de adquisición de inmuebles.</w:t>
      </w:r>
    </w:p>
    <w:p w14:paraId="49D3C3E4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SemiBold" w:eastAsia="Calibri" w:hAnsi="Poppins SemiBold" w:cs="Poppins SemiBold"/>
          <w:bCs/>
          <w:sz w:val="16"/>
          <w:szCs w:val="16"/>
          <w:lang w:val="es-ES_tradnl"/>
        </w:rPr>
        <w:t>Tercero</w:t>
      </w:r>
      <w:r w:rsidRPr="00793522">
        <w:rPr>
          <w:rFonts w:ascii="Poppins Light" w:eastAsia="Calibri" w:hAnsi="Poppins Light" w:cs="Poppins Light"/>
          <w:bCs/>
          <w:sz w:val="16"/>
          <w:szCs w:val="16"/>
          <w:lang w:val="es-ES_tradnl"/>
        </w:rPr>
        <w:t>.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 xml:space="preserve"> Que tampoco se encuentra en ninguna de las situaciones delictivas indicadas en el apartado Primero 2 y 3 de la presente declaración.</w:t>
      </w:r>
    </w:p>
    <w:p w14:paraId="5C0ECFFA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SemiBold" w:eastAsia="Calibri" w:hAnsi="Poppins SemiBold" w:cs="Poppins SemiBold"/>
          <w:bCs/>
          <w:sz w:val="16"/>
          <w:szCs w:val="16"/>
          <w:lang w:val="es-ES_tradnl"/>
        </w:rPr>
        <w:t>Cuarto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. Que se compromete a poner en conocimiento del Órgano de Cumplimiento Penal, sin dilación, cualquier indicio de delito, e igualmente cualquier situación de conflicto de intereses o causa de abstención que dé o pudiera dar lugar a dicho escenario, a través del Buzón Ético de SEGIPSA.</w:t>
      </w:r>
    </w:p>
    <w:p w14:paraId="3F4D94F8" w14:textId="77777777" w:rsidR="00793522" w:rsidRPr="00793522" w:rsidRDefault="00793522" w:rsidP="00793522">
      <w:pPr>
        <w:spacing w:line="240" w:lineRule="auto"/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SemiBold" w:eastAsia="Calibri" w:hAnsi="Poppins SemiBold" w:cs="Poppins SemiBold"/>
          <w:bCs/>
          <w:sz w:val="16"/>
          <w:szCs w:val="16"/>
          <w:lang w:val="es-ES_tradnl"/>
        </w:rPr>
        <w:t>Quinto</w:t>
      </w:r>
      <w:r w:rsidRPr="00793522">
        <w:rPr>
          <w:rFonts w:ascii="Poppins Light" w:eastAsia="Calibri" w:hAnsi="Poppins Light" w:cs="Poppins Light"/>
          <w:bCs/>
          <w:sz w:val="16"/>
          <w:szCs w:val="16"/>
          <w:lang w:val="es-ES_tradnl"/>
        </w:rPr>
        <w:t>.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 xml:space="preserve"> Conozco que, una declaración de ausencia de conflicto de intereses que se demuestre que sea falsa, acarreará las consecuencias disciplinarias / administrativas / judiciales que establezca la normativa de aplicación y el </w:t>
      </w:r>
      <w:r w:rsidRPr="00793522">
        <w:rPr>
          <w:rFonts w:ascii="Poppins Light" w:eastAsia="Calibri" w:hAnsi="Poppins Light" w:cs="Poppins Light"/>
          <w:i/>
          <w:sz w:val="16"/>
          <w:szCs w:val="16"/>
          <w:lang w:val="es-ES_tradnl"/>
        </w:rPr>
        <w:t>Sistema de Gestión de Compliance Penal</w:t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 xml:space="preserve"> de SEGIPSA.</w:t>
      </w:r>
    </w:p>
    <w:p w14:paraId="1E58BE32" w14:textId="77777777" w:rsidR="00793522" w:rsidRPr="00793522" w:rsidRDefault="00793522" w:rsidP="00793522">
      <w:pPr>
        <w:jc w:val="right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4D853E4F" w14:textId="77777777" w:rsidR="00793522" w:rsidRPr="00793522" w:rsidRDefault="00793522" w:rsidP="00793522">
      <w:pPr>
        <w:tabs>
          <w:tab w:val="left" w:pos="487"/>
        </w:tabs>
        <w:jc w:val="right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</w: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ab/>
        <w:t>Madrid, a 5 de noviembre de 2025</w:t>
      </w:r>
    </w:p>
    <w:p w14:paraId="0BB434BE" w14:textId="77777777" w:rsidR="00793522" w:rsidRPr="00793522" w:rsidRDefault="00793522" w:rsidP="00793522">
      <w:pPr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1B5820E9" w14:textId="77777777" w:rsidR="00793522" w:rsidRPr="00793522" w:rsidRDefault="00793522" w:rsidP="00793522">
      <w:pPr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1EF353DA" w14:textId="77777777" w:rsidR="00793522" w:rsidRPr="00793522" w:rsidRDefault="00793522" w:rsidP="00793522">
      <w:pPr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</w:p>
    <w:p w14:paraId="77E4976D" w14:textId="77777777" w:rsidR="00793522" w:rsidRPr="00793522" w:rsidRDefault="00793522" w:rsidP="00793522">
      <w:pPr>
        <w:jc w:val="both"/>
        <w:rPr>
          <w:rFonts w:ascii="Poppins Light" w:eastAsia="Calibri" w:hAnsi="Poppins Light" w:cs="Poppins Light"/>
          <w:b/>
          <w:sz w:val="16"/>
          <w:szCs w:val="16"/>
          <w:lang w:val="es-ES_tradnl"/>
        </w:rPr>
      </w:pPr>
      <w:r w:rsidRPr="00793522">
        <w:rPr>
          <w:rFonts w:ascii="Poppins Light" w:eastAsia="Calibri" w:hAnsi="Poppins Light" w:cs="Poppins Light"/>
          <w:sz w:val="16"/>
          <w:szCs w:val="16"/>
          <w:lang w:val="es-ES_tradnl"/>
        </w:rPr>
        <w:t>(Fecha y firma, nombre completo y DNI)</w:t>
      </w:r>
    </w:p>
    <w:p w14:paraId="17922A82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5D758515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007F57E4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305B7077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3EF64645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08F29D86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5E91CE62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1AA761FE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2266FF54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645DF9E1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044807B5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5A5C4B7F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21C92F70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3E2DAF88" w14:textId="77777777" w:rsidR="00793522" w:rsidRPr="00793522" w:rsidRDefault="00793522" w:rsidP="00793522">
      <w:pPr>
        <w:spacing w:after="0" w:line="240" w:lineRule="auto"/>
        <w:rPr>
          <w:rFonts w:ascii="Poppins" w:eastAsia="Arial" w:hAnsi="Poppins" w:cs="Poppins"/>
          <w:sz w:val="16"/>
          <w:szCs w:val="16"/>
          <w:lang w:val="es-ES_tradnl"/>
        </w:rPr>
      </w:pPr>
    </w:p>
    <w:p w14:paraId="0BF095E0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7B27AE8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521E988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108B252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5AD91D6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EC0925D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CBBD400" w14:textId="0D314A6D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color w:val="2E74B5"/>
          <w:sz w:val="16"/>
          <w:szCs w:val="16"/>
          <w:lang w:val="es-ES_tradnl"/>
        </w:rPr>
      </w:pPr>
      <w:bookmarkStart w:id="1" w:name="_Toc190797616"/>
    </w:p>
    <w:bookmarkEnd w:id="1"/>
    <w:sectPr w:rsidR="002A2F88" w:rsidRPr="002A2F88" w:rsidSect="004F7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AF93" w14:textId="77777777" w:rsidR="002F03C3" w:rsidRDefault="002F03C3" w:rsidP="002F03C3">
      <w:pPr>
        <w:spacing w:after="0" w:line="240" w:lineRule="auto"/>
      </w:pPr>
      <w:r>
        <w:separator/>
      </w:r>
    </w:p>
  </w:endnote>
  <w:endnote w:type="continuationSeparator" w:id="0">
    <w:p w14:paraId="7E31ACC1" w14:textId="77777777" w:rsidR="002F03C3" w:rsidRDefault="002F03C3" w:rsidP="002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08BA" w14:textId="77777777" w:rsidR="001F7D02" w:rsidRDefault="001F7D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C4F9" w14:textId="3C5DD955" w:rsidR="002F03C3" w:rsidRPr="002F03C3" w:rsidRDefault="002F03C3" w:rsidP="002F03C3">
    <w:pPr>
      <w:tabs>
        <w:tab w:val="right" w:pos="8504"/>
      </w:tabs>
      <w:spacing w:after="0" w:line="240" w:lineRule="auto"/>
      <w:rPr>
        <w:rFonts w:ascii="Poppins SemiBold" w:eastAsia="Arial" w:hAnsi="Poppins SemiBold" w:cs="Poppins SemiBold"/>
        <w:bCs/>
        <w:sz w:val="18"/>
        <w:szCs w:val="18"/>
        <w:lang w:val="es-ES_tradnl"/>
      </w:rPr>
    </w:pPr>
    <w:r w:rsidRPr="002F03C3">
      <w:rPr>
        <w:rFonts w:ascii="Poppins SemiBold" w:eastAsia="Arial" w:hAnsi="Poppins SemiBold" w:cs="Times New Roman (Cuerpo en alf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7825" wp14:editId="3ACA0EAA">
              <wp:simplePos x="0" y="0"/>
              <wp:positionH relativeFrom="column">
                <wp:posOffset>5459095</wp:posOffset>
              </wp:positionH>
              <wp:positionV relativeFrom="paragraph">
                <wp:posOffset>-107406</wp:posOffset>
              </wp:positionV>
              <wp:extent cx="78105" cy="78105"/>
              <wp:effectExtent l="0" t="0" r="0" b="0"/>
              <wp:wrapNone/>
              <wp:docPr id="14959794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78105"/>
                      </a:xfrm>
                      <a:prstGeom prst="rect">
                        <a:avLst/>
                      </a:prstGeom>
                      <a:solidFill>
                        <a:srgbClr val="D92330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24B2" id="Rectángulo 1" o:spid="_x0000_s1026" style="position:absolute;margin-left:429.85pt;margin-top:-8.45pt;width:6.1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" fillcolor="#d92330" stroked="f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noProof/>
        <w:color w:val="D92330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66E6" wp14:editId="6EF568E8">
              <wp:simplePos x="0" y="0"/>
              <wp:positionH relativeFrom="column">
                <wp:posOffset>5262658</wp:posOffset>
              </wp:positionH>
              <wp:positionV relativeFrom="paragraph">
                <wp:posOffset>-26670</wp:posOffset>
              </wp:positionV>
              <wp:extent cx="196930" cy="196930"/>
              <wp:effectExtent l="0" t="0" r="19050" b="19050"/>
              <wp:wrapNone/>
              <wp:docPr id="18137173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30" cy="1969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2C2B2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5BEBB" id="Rectángulo 1" o:spid="_x0000_s1026" style="position:absolute;margin-left:414.4pt;margin-top:-2.1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" filled="f" strokecolor="#2c2b2b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>segipsa.es</w:t>
    </w:r>
    <w:r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ab/>
    </w:r>
  </w:p>
  <w:p w14:paraId="7297C01E" w14:textId="41B2A95A" w:rsidR="002F03C3" w:rsidRDefault="002F0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88D9" w14:textId="77777777" w:rsidR="001F7D02" w:rsidRDefault="001F7D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C0AD" w14:textId="77777777" w:rsidR="002F03C3" w:rsidRDefault="002F03C3" w:rsidP="002F03C3">
      <w:pPr>
        <w:spacing w:after="0" w:line="240" w:lineRule="auto"/>
      </w:pPr>
      <w:r>
        <w:separator/>
      </w:r>
    </w:p>
  </w:footnote>
  <w:footnote w:type="continuationSeparator" w:id="0">
    <w:p w14:paraId="081AFC8B" w14:textId="77777777" w:rsidR="002F03C3" w:rsidRDefault="002F03C3" w:rsidP="002F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4DF1" w14:textId="77777777" w:rsidR="001F7D02" w:rsidRDefault="001F7D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D589" w14:textId="37D93AF6" w:rsidR="001F7D02" w:rsidRDefault="001F7D02">
    <w:pPr>
      <w:pStyle w:val="Encabezado"/>
    </w:pPr>
    <w:r>
      <w:rPr>
        <w:noProof/>
      </w:rPr>
      <w:drawing>
        <wp:inline distT="0" distB="0" distL="0" distR="0" wp14:anchorId="23B7C610" wp14:editId="5C360D5B">
          <wp:extent cx="5398770" cy="151130"/>
          <wp:effectExtent l="0" t="0" r="0" b="1270"/>
          <wp:docPr id="2057541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4101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CA80" w14:textId="77777777" w:rsidR="001F7D02" w:rsidRDefault="001F7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F92"/>
    <w:multiLevelType w:val="hybridMultilevel"/>
    <w:tmpl w:val="C99618D4"/>
    <w:lvl w:ilvl="0" w:tplc="DDDE1E8E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  <w:strike w:val="0"/>
        <w:color w:val="D3272A"/>
        <w:sz w:val="24"/>
      </w:rPr>
    </w:lvl>
    <w:lvl w:ilvl="1" w:tplc="0C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5860AD4"/>
    <w:multiLevelType w:val="hybridMultilevel"/>
    <w:tmpl w:val="3FD65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4422"/>
    <w:multiLevelType w:val="multilevel"/>
    <w:tmpl w:val="107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7DAE46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1400724">
    <w:abstractNumId w:val="0"/>
  </w:num>
  <w:num w:numId="2" w16cid:durableId="269775045">
    <w:abstractNumId w:val="1"/>
  </w:num>
  <w:num w:numId="3" w16cid:durableId="788012253">
    <w:abstractNumId w:val="3"/>
  </w:num>
  <w:num w:numId="4" w16cid:durableId="70028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45460"/>
    <w:rsid w:val="00074AC8"/>
    <w:rsid w:val="001F7D02"/>
    <w:rsid w:val="002A2F88"/>
    <w:rsid w:val="002F03C3"/>
    <w:rsid w:val="003D10A8"/>
    <w:rsid w:val="004E76C5"/>
    <w:rsid w:val="004F7BA3"/>
    <w:rsid w:val="0050621B"/>
    <w:rsid w:val="006F69B1"/>
    <w:rsid w:val="00793522"/>
    <w:rsid w:val="007D11E5"/>
    <w:rsid w:val="009138BA"/>
    <w:rsid w:val="0094321D"/>
    <w:rsid w:val="009C294B"/>
    <w:rsid w:val="009E14EB"/>
    <w:rsid w:val="00B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BA491"/>
  <w15:chartTrackingRefBased/>
  <w15:docId w15:val="{A231E158-4F10-4078-AEFE-B077114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1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3C3"/>
  </w:style>
  <w:style w:type="paragraph" w:styleId="Piedepgina">
    <w:name w:val="footer"/>
    <w:basedOn w:val="Normal"/>
    <w:link w:val="Piedepgina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3C3"/>
  </w:style>
  <w:style w:type="table" w:customStyle="1" w:styleId="Tablanormal11">
    <w:name w:val="Tabla normal 11"/>
    <w:basedOn w:val="Tablanormal"/>
    <w:next w:val="Tablanormal1"/>
    <w:uiPriority w:val="41"/>
    <w:rsid w:val="004F7BA3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  <w:style w:type="table" w:styleId="Tablanormal1">
    <w:name w:val="Plain Table 1"/>
    <w:basedOn w:val="Tablanormal"/>
    <w:uiPriority w:val="41"/>
    <w:rsid w:val="004F7B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2A2F88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  <w:style w:type="table" w:customStyle="1" w:styleId="Tablanormal13">
    <w:name w:val="Tabla normal 13"/>
    <w:basedOn w:val="Tablanormal"/>
    <w:next w:val="Tablanormal1"/>
    <w:uiPriority w:val="41"/>
    <w:rsid w:val="00793522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822</Words>
  <Characters>4523</Characters>
  <Application>Microsoft Office Word</Application>
  <DocSecurity>0</DocSecurity>
  <Lines>37</Lines>
  <Paragraphs>10</Paragraphs>
  <ScaleCrop>false</ScaleCrop>
  <Company>SEGIPSA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Arroyo Cascos</dc:creator>
  <cp:keywords/>
  <dc:description/>
  <cp:lastModifiedBy>Susana Pinto</cp:lastModifiedBy>
  <cp:revision>10</cp:revision>
  <dcterms:created xsi:type="dcterms:W3CDTF">2025-09-30T10:08:00Z</dcterms:created>
  <dcterms:modified xsi:type="dcterms:W3CDTF">2025-09-30T13:45:00Z</dcterms:modified>
</cp:coreProperties>
</file>